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Types>
</file>

<file path=_rels/.rels><?xml version="1.0" encoding="UTF-8" standalone="yes"?><Relationships xmlns="http://schemas.openxmlformats.org/package/2006/relationships"><Relationship Target="word/document.xml" Type="http://schemas.openxmlformats.org/officeDocument/2006/relationships/officeDocument" Id="rId1"/></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 xml:space="preserve">Annie Klingenberg</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 xml:space="preserve">Iezzi</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 xml:space="preserve">Honors Period 2</w:t>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 xml:space="preserve">March 9 2015</w:t>
      </w:r>
    </w:p>
    <w:p w:rsidP="00000000" w:rsidRPr="00000000" w:rsidR="00000000" w:rsidDel="00000000" w:rsidRDefault="00000000">
      <w:pPr>
        <w:spacing w:lineRule="auto" w:line="480"/>
        <w:contextualSpacing w:val="0"/>
      </w:pPr>
      <w:r w:rsidRPr="00000000" w:rsidR="00000000" w:rsidDel="00000000">
        <w:rPr>
          <w:rtl w:val="0"/>
        </w:rPr>
      </w:r>
    </w:p>
    <w:p w:rsidP="00000000" w:rsidRPr="00000000" w:rsidR="00000000" w:rsidDel="00000000" w:rsidRDefault="00000000">
      <w:pPr>
        <w:spacing w:lineRule="auto" w:line="480"/>
        <w:contextualSpacing w:val="0"/>
      </w:pPr>
      <w:r w:rsidRPr="00000000" w:rsidR="00000000" w:rsidDel="00000000">
        <w:rPr>
          <w:rFonts w:cs="Times New Roman" w:hAnsi="Times New Roman" w:eastAsia="Times New Roman" w:ascii="Times New Roman"/>
          <w:sz w:val="24"/>
          <w:rtl w:val="0"/>
        </w:rPr>
        <w:tab/>
        <w:t xml:space="preserve">This video is gives a detailed description of Gandhi’s early life, his stance on religion and politics and his affect on India as a whole. Within the video, it features not only photos but also primary source video clips. These clips show the viewer what some of the protests looked like, as well as where Gandhi lived and preached. The video also allows the reader to understand Gandhi’s principle and their affects on society in a more interactive way than the text. It not only informs the viewer of Gandhi’s impact during India’s struggle for independence but also his impact in many other ventures. This video is very informative on Gandhi’s principles and how they differed from society’s. Gandhi inspired many revolutionaries, such as Martin Luther King Jr. and Nelson Mandela, and this video makes a point to mention and discuss said revolutionaries and how they are similar to Gandhi. Understanding Gandhi’s principles is very important, but with the background information provided within this video, the viewer has a greater more detailed understanding.</w:t>
      </w:r>
    </w:p>
    <w:sectPr>
      <w:pgSz w:w="12240" w:h="15840"/>
      <w:pgMar w:left="1440" w:right="1440" w:top="1440" w:bottom="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